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木垒哈萨克自治县第一小学</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木垒哈萨克自治县第一小学是一所全额拨款的事业单位，实施小学学历教育，按照基础教育的有关规定和教学大纲，积极开展各项教学活动；强化德育工作，培养教育学生的技能、技巧和综合能力，加强学校的内部管理工作；加强办学理念，内强素质，外树形象，加强教师整体素质，学生综合素养，学校文化建设；全面提升教育教学质量，全力推进学校工作全面、均衡、协调、持续的发展。</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eastAsia="仿宋_GB2312"/>
          <w:sz w:val="32"/>
          <w:szCs w:val="32"/>
        </w:rPr>
      </w:pPr>
      <w:r>
        <w:rPr>
          <w:rFonts w:hint="eastAsia" w:ascii="仿宋_GB2312" w:eastAsia="仿宋_GB2312"/>
          <w:sz w:val="32"/>
          <w:szCs w:val="32"/>
        </w:rPr>
        <w:t>木垒哈萨克自治县第一小学2023年度，实有人数</w:t>
      </w:r>
      <w:r>
        <w:rPr>
          <w:rFonts w:hint="eastAsia" w:ascii="仿宋_GB2312" w:eastAsia="仿宋_GB2312"/>
          <w:sz w:val="32"/>
          <w:szCs w:val="32"/>
          <w:lang w:val="zh-CN"/>
        </w:rPr>
        <w:t>278</w:t>
      </w:r>
      <w:r>
        <w:rPr>
          <w:rFonts w:hint="eastAsia" w:ascii="仿宋_GB2312" w:eastAsia="仿宋_GB2312"/>
          <w:sz w:val="32"/>
          <w:szCs w:val="32"/>
        </w:rPr>
        <w:t>人，其中：在职人员</w:t>
      </w:r>
      <w:r>
        <w:rPr>
          <w:rFonts w:hint="eastAsia" w:ascii="仿宋_GB2312" w:eastAsia="仿宋_GB2312"/>
          <w:sz w:val="32"/>
          <w:szCs w:val="32"/>
          <w:lang w:val="zh-CN"/>
        </w:rPr>
        <w:t>101</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177</w:t>
      </w:r>
      <w:r>
        <w:rPr>
          <w:rFonts w:hint="eastAsia" w:ascii="仿宋_GB2312" w:eastAsia="仿宋_GB2312"/>
          <w:sz w:val="32"/>
          <w:szCs w:val="32"/>
        </w:rPr>
        <w:t>人。</w:t>
      </w:r>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单位无下属预算单位，下设4个科室，分别是：教务处、总务处、财务室、德育处。</w:t>
      </w:r>
    </w:p>
    <w:p>
      <w:pPr>
        <w:widowControl/>
        <w:jc w:val="left"/>
        <w:rPr>
          <w:rFonts w:hint="eastAsia" w:ascii="黑体" w:hAnsi="黑体" w:eastAsia="黑体"/>
          <w:sz w:val="32"/>
          <w:szCs w:val="32"/>
        </w:rPr>
      </w:pPr>
      <w:bookmarkStart w:id="6" w:name="_Toc3092"/>
      <w:bookmarkStart w:id="7" w:name="_Toc29374"/>
      <w:r>
        <w:rPr>
          <w:rFonts w:hint="eastAsia" w:ascii="黑体" w:hAnsi="黑体" w:eastAsia="黑体"/>
          <w:sz w:val="32"/>
          <w:szCs w:val="32"/>
        </w:rPr>
        <w:br w:type="page"/>
      </w:r>
    </w:p>
    <w:p>
      <w:pPr>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2023年度收入总计2,536.75万元，其中：本年收入合计2,536.15万元，使用非财政拨款结余0.00万元，年初结转和结余0.60万元。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2023年度支出总计2,536.75万元，其中：本年支出合计2,536.41万元，结余分配0.00万元，年末结转和结余0.35万元。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增加147.51万元</w:t>
      </w:r>
      <w:r>
        <w:rPr>
          <w:rFonts w:hint="eastAsia" w:ascii="仿宋_GB2312" w:eastAsia="仿宋_GB2312"/>
          <w:sz w:val="32"/>
          <w:szCs w:val="32"/>
        </w:rPr>
        <w:t>，增长6.17%，主要原因是：单位本年学前三年保障机制经费增加。</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收入2,536.15万元，其中：财政拨款收入2,535.38万元，占99.97%；上级补助收入0.00万元，占0.00%；事业收入0.00万元，占0.00%；经营收入0.00万元，占0.00%；附属单位上缴收入0.00万元，占0.00%；其他收入0.77万元，占0.03%。</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本年支出2,536.41万元，其中：基本支出2,352.40万元，占92.75%；项目支出184.01万元，占7.25%；上缴上级支出0.00万元，占0.00%；经营支出0.00万元，占0.00%；对附属单位补助支出0.00万元，占0.00%。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2,535.38</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2,535.38</w:t>
      </w:r>
      <w:r>
        <w:rPr>
          <w:rFonts w:hint="eastAsia" w:ascii="仿宋_GB2312" w:eastAsia="仿宋_GB2312"/>
          <w:sz w:val="32"/>
          <w:szCs w:val="32"/>
        </w:rPr>
        <w:t>万元。财政拨款支出总计</w:t>
      </w:r>
      <w:r>
        <w:rPr>
          <w:rFonts w:hint="eastAsia" w:ascii="仿宋_GB2312" w:eastAsia="仿宋_GB2312"/>
          <w:sz w:val="32"/>
          <w:szCs w:val="32"/>
          <w:lang w:val="zh-CN"/>
        </w:rPr>
        <w:t>2,535.38</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2,535.38</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增加187.39万元</w:t>
      </w:r>
      <w:r>
        <w:rPr>
          <w:rFonts w:hint="eastAsia" w:ascii="仿宋_GB2312" w:eastAsia="仿宋_GB2312"/>
          <w:sz w:val="32"/>
          <w:szCs w:val="32"/>
        </w:rPr>
        <w:t>，增长7.98%,主要原因是：单位本年学前三年保障机制经费增加。与年初预算相比，年初预算数</w:t>
      </w:r>
      <w:r>
        <w:rPr>
          <w:rFonts w:hint="eastAsia" w:ascii="仿宋_GB2312" w:eastAsia="仿宋_GB2312"/>
          <w:sz w:val="32"/>
          <w:szCs w:val="32"/>
          <w:lang w:val="zh-CN"/>
        </w:rPr>
        <w:t>2,330.58</w:t>
      </w:r>
      <w:r>
        <w:rPr>
          <w:rFonts w:hint="eastAsia" w:ascii="仿宋_GB2312" w:eastAsia="仿宋_GB2312"/>
          <w:sz w:val="32"/>
          <w:szCs w:val="32"/>
        </w:rPr>
        <w:t>万元，决算数</w:t>
      </w:r>
      <w:r>
        <w:rPr>
          <w:rFonts w:hint="eastAsia" w:ascii="仿宋_GB2312" w:eastAsia="仿宋_GB2312"/>
          <w:sz w:val="32"/>
          <w:szCs w:val="32"/>
          <w:lang w:val="zh-CN"/>
        </w:rPr>
        <w:t>2,535.38</w:t>
      </w:r>
      <w:r>
        <w:rPr>
          <w:rFonts w:hint="eastAsia" w:ascii="仿宋_GB2312" w:eastAsia="仿宋_GB2312"/>
          <w:sz w:val="32"/>
          <w:szCs w:val="32"/>
        </w:rPr>
        <w:t>万元，预决算差异率8.79%，主要原因是：年中追加学前三年保障机制项目经费。</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2023年度一般公共预算财政拨款支出2,535.38万元，占本年支出合计的</w:t>
      </w:r>
      <w:r>
        <w:rPr>
          <w:rFonts w:hint="eastAsia" w:ascii="仿宋_GB2312" w:eastAsia="仿宋_GB2312"/>
          <w:sz w:val="32"/>
          <w:szCs w:val="32"/>
          <w:lang w:val="zh-CN"/>
        </w:rPr>
        <w:t>99.96%</w:t>
      </w:r>
      <w:r>
        <w:rPr>
          <w:rFonts w:hint="eastAsia" w:ascii="仿宋_GB2312" w:eastAsia="仿宋_GB2312"/>
          <w:sz w:val="32"/>
          <w:szCs w:val="32"/>
        </w:rPr>
        <w:t>。与上年相比，</w:t>
      </w:r>
      <w:r>
        <w:rPr>
          <w:rFonts w:hint="eastAsia" w:ascii="仿宋_GB2312" w:eastAsia="仿宋_GB2312"/>
          <w:sz w:val="32"/>
          <w:szCs w:val="32"/>
          <w:lang w:val="zh-CN"/>
        </w:rPr>
        <w:t>增加187.39万元</w:t>
      </w:r>
      <w:r>
        <w:rPr>
          <w:rFonts w:hint="eastAsia" w:ascii="仿宋_GB2312" w:eastAsia="仿宋_GB2312"/>
          <w:sz w:val="32"/>
          <w:szCs w:val="32"/>
        </w:rPr>
        <w:t>，增长7.98%,主要原因是：单位本年学前三年保障机制经费增加。与年初预算相比，年初预算数</w:t>
      </w:r>
      <w:r>
        <w:rPr>
          <w:rFonts w:hint="eastAsia" w:ascii="仿宋_GB2312" w:eastAsia="仿宋_GB2312"/>
          <w:sz w:val="32"/>
          <w:szCs w:val="32"/>
          <w:lang w:val="zh-CN"/>
        </w:rPr>
        <w:t>2,330.58</w:t>
      </w:r>
      <w:r>
        <w:rPr>
          <w:rFonts w:hint="eastAsia" w:ascii="仿宋_GB2312" w:eastAsia="仿宋_GB2312"/>
          <w:sz w:val="32"/>
          <w:szCs w:val="32"/>
        </w:rPr>
        <w:t>万元，决算数</w:t>
      </w:r>
      <w:r>
        <w:rPr>
          <w:rFonts w:hint="eastAsia" w:ascii="仿宋_GB2312" w:eastAsia="仿宋_GB2312"/>
          <w:sz w:val="32"/>
          <w:szCs w:val="32"/>
          <w:lang w:val="zh-CN"/>
        </w:rPr>
        <w:t>2,535.38</w:t>
      </w:r>
      <w:r>
        <w:rPr>
          <w:rFonts w:hint="eastAsia" w:ascii="仿宋_GB2312" w:eastAsia="仿宋_GB2312"/>
          <w:sz w:val="32"/>
          <w:szCs w:val="32"/>
        </w:rPr>
        <w:t>万元，预决算差异率</w:t>
      </w:r>
      <w:r>
        <w:rPr>
          <w:rFonts w:hint="eastAsia" w:ascii="仿宋_GB2312" w:eastAsia="仿宋_GB2312"/>
          <w:sz w:val="32"/>
          <w:szCs w:val="32"/>
          <w:lang w:val="zh-CN"/>
        </w:rPr>
        <w:t>8.79%</w:t>
      </w:r>
      <w:r>
        <w:rPr>
          <w:rFonts w:hint="eastAsia" w:ascii="仿宋_GB2312" w:eastAsia="仿宋_GB2312"/>
          <w:sz w:val="32"/>
          <w:szCs w:val="32"/>
        </w:rPr>
        <w:t>，主要原因是：年中追加学前三年保障机制项目经费。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2,333.40</w:t>
      </w:r>
      <w:r>
        <w:rPr>
          <w:rFonts w:ascii="仿宋_GB2312" w:eastAsia="仿宋_GB2312"/>
          <w:kern w:val="2"/>
          <w:sz w:val="32"/>
          <w:szCs w:val="32"/>
          <w:lang w:val="zh-CN"/>
        </w:rPr>
        <w:t>万元，占</w:t>
      </w:r>
      <w:r>
        <w:rPr>
          <w:rFonts w:hint="eastAsia" w:ascii="仿宋_GB2312" w:eastAsia="仿宋_GB2312"/>
          <w:kern w:val="2"/>
          <w:sz w:val="32"/>
          <w:szCs w:val="32"/>
          <w:lang w:val="zh-CN"/>
        </w:rPr>
        <w:t>92.03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201.98</w:t>
      </w:r>
      <w:r>
        <w:rPr>
          <w:rFonts w:ascii="仿宋_GB2312" w:eastAsia="仿宋_GB2312"/>
          <w:kern w:val="2"/>
          <w:sz w:val="32"/>
          <w:szCs w:val="32"/>
          <w:lang w:val="zh-CN"/>
        </w:rPr>
        <w:t>万元，占</w:t>
      </w:r>
      <w:r>
        <w:rPr>
          <w:rFonts w:hint="eastAsia" w:ascii="仿宋_GB2312" w:eastAsia="仿宋_GB2312"/>
          <w:kern w:val="2"/>
          <w:sz w:val="32"/>
          <w:szCs w:val="32"/>
          <w:lang w:val="zh-CN"/>
        </w:rPr>
        <w:t>7.97</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lang w:val="zh-CN"/>
        </w:rPr>
      </w:pPr>
      <w:r>
        <w:rPr>
          <w:rFonts w:hint="eastAsia" w:ascii="仿宋_GB2312" w:eastAsia="仿宋_GB2312"/>
          <w:sz w:val="32"/>
          <w:szCs w:val="32"/>
        </w:rPr>
        <w:t>1.社会保障和就业支出（类）抚恤（款）死亡抚恤（项）:支出决算数为83.48万元，比上年决算增加72.17万元，增长638.29%，主要原因是：单位本年</w:t>
      </w:r>
      <w:r>
        <w:rPr>
          <w:rFonts w:hint="eastAsia" w:ascii="仿宋_GB2312" w:eastAsia="仿宋_GB2312"/>
          <w:sz w:val="32"/>
          <w:szCs w:val="32"/>
          <w:lang w:val="zh-CN"/>
        </w:rPr>
        <w:t>退休教师去世人数增加，丧葬复抚恤金增加。</w:t>
      </w:r>
    </w:p>
    <w:p>
      <w:pPr>
        <w:ind w:firstLine="640" w:firstLineChars="200"/>
        <w:jc w:val="left"/>
        <w:rPr>
          <w:rFonts w:ascii="仿宋_GB2312" w:eastAsia="仿宋_GB2312"/>
          <w:sz w:val="32"/>
          <w:szCs w:val="32"/>
          <w:lang w:val="zh-CN"/>
        </w:rPr>
      </w:pPr>
      <w:r>
        <w:rPr>
          <w:rFonts w:hint="eastAsia" w:ascii="仿宋_GB2312" w:eastAsia="仿宋_GB2312"/>
          <w:sz w:val="32"/>
          <w:szCs w:val="32"/>
        </w:rPr>
        <w:t>2.教育支出（类）普通教育（款）小学教育（项）:支出决算数为2,063.24万元，比上年决算减少73.54万元，下降3.44%，主要原因是：单位本年</w:t>
      </w:r>
      <w:r>
        <w:rPr>
          <w:rFonts w:hint="eastAsia" w:ascii="仿宋_GB2312" w:eastAsia="仿宋_GB2312"/>
          <w:sz w:val="32"/>
          <w:szCs w:val="32"/>
          <w:lang w:val="zh-CN"/>
        </w:rPr>
        <w:t>城乡义务教育补助经费</w:t>
      </w:r>
      <w:r>
        <w:rPr>
          <w:rFonts w:hint="eastAsia" w:ascii="仿宋_GB2312" w:eastAsia="仿宋_GB2312"/>
          <w:sz w:val="32"/>
          <w:szCs w:val="32"/>
        </w:rPr>
        <w:t>减少</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rPr>
        <w:t>3.社会保障和就业支出（类）行政事业单位养老支出（款）事业单位离退休（项）:支出决算数为58.93万元，比上年决算增加36.13万元，增长158.43%，主要原因是：单位本年退休人员增加，相应退休补助费用增加</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rPr>
        <w:t>4.教育支出（类）普通教育（款）学前教育（项）:支出决算数为270.16万元，比上年决算增加106.04万元，增长64.61%，主要原因是：</w:t>
      </w:r>
      <w:r>
        <w:rPr>
          <w:rFonts w:hint="eastAsia" w:ascii="仿宋_GB2312" w:eastAsia="仿宋_GB2312"/>
          <w:sz w:val="32"/>
          <w:szCs w:val="32"/>
          <w:lang w:val="zh-CN"/>
        </w:rPr>
        <w:t>本年单位学前教师</w:t>
      </w:r>
      <w:r>
        <w:rPr>
          <w:rFonts w:hint="eastAsia" w:ascii="仿宋_GB2312" w:eastAsia="仿宋_GB2312"/>
          <w:sz w:val="32"/>
          <w:szCs w:val="32"/>
        </w:rPr>
        <w:t>工资</w:t>
      </w:r>
      <w:r>
        <w:rPr>
          <w:rFonts w:hint="eastAsia" w:ascii="仿宋_GB2312" w:eastAsia="仿宋_GB2312"/>
          <w:sz w:val="32"/>
          <w:szCs w:val="32"/>
          <w:lang w:val="zh-CN"/>
        </w:rPr>
        <w:t>、津贴补贴、奖金、社保缴费</w:t>
      </w:r>
      <w:r>
        <w:rPr>
          <w:rFonts w:hint="eastAsia" w:ascii="仿宋_GB2312" w:eastAsia="仿宋_GB2312"/>
          <w:sz w:val="32"/>
          <w:szCs w:val="32"/>
        </w:rPr>
        <w:t>等经费</w:t>
      </w:r>
      <w:r>
        <w:rPr>
          <w:rFonts w:hint="eastAsia" w:ascii="仿宋_GB2312" w:eastAsia="仿宋_GB2312"/>
          <w:sz w:val="32"/>
          <w:szCs w:val="32"/>
          <w:lang w:val="zh-CN"/>
        </w:rPr>
        <w:t>增加。</w:t>
      </w:r>
    </w:p>
    <w:p>
      <w:pPr>
        <w:ind w:firstLine="640" w:firstLineChars="200"/>
        <w:jc w:val="left"/>
        <w:rPr>
          <w:rFonts w:ascii="仿宋_GB2312" w:eastAsia="仿宋_GB2312"/>
          <w:sz w:val="32"/>
          <w:szCs w:val="32"/>
          <w:lang w:val="zh-CN"/>
        </w:rPr>
      </w:pPr>
      <w:r>
        <w:rPr>
          <w:rFonts w:hint="eastAsia" w:ascii="仿宋_GB2312" w:eastAsia="仿宋_GB2312"/>
          <w:sz w:val="32"/>
          <w:szCs w:val="32"/>
        </w:rPr>
        <w:t>5.社会保障和就业支出（类）行政事业单位养老支出（款）机关事业单位职业年金缴费支出（项）:支出决算数为59.58万元，比上年决算增加46.59万元，增长358.89%，主要原因是：单位本年退休人数增加，职业年金费用增加。</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2,351.74万元，其中：人员经费2,333.44万元，包括：基本工资、津贴补贴、奖金、机关事业单位基本养老保险缴费、职业年金缴费、职工基本医疗保险缴费、其他社会保障缴费、住房公积金、退休费、抚恤金、生活补助、助学金、奖励金、其他对个人和家庭的补助。</w:t>
      </w:r>
    </w:p>
    <w:p>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公用经费18.30万元，包括：取暖费、公务用车运行维护费。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“三公”经费支出0.30万元，</w:t>
      </w:r>
      <w:r>
        <w:rPr>
          <w:rFonts w:hint="eastAsia" w:ascii="仿宋_GB2312" w:eastAsia="仿宋_GB2312"/>
          <w:sz w:val="32"/>
          <w:szCs w:val="32"/>
        </w:rPr>
        <w:t>比上年</w:t>
      </w:r>
      <w:r>
        <w:rPr>
          <w:rFonts w:hint="eastAsia" w:ascii="仿宋_GB2312" w:eastAsia="仿宋_GB2312"/>
          <w:sz w:val="32"/>
          <w:szCs w:val="32"/>
          <w:lang w:val="zh-CN"/>
        </w:rPr>
        <w:t>减少0.08万元，</w:t>
      </w:r>
      <w:r>
        <w:rPr>
          <w:rFonts w:hint="eastAsia" w:ascii="仿宋_GB2312" w:eastAsia="仿宋_GB2312"/>
          <w:sz w:val="32"/>
          <w:szCs w:val="32"/>
        </w:rPr>
        <w:t>下降21.05%,</w:t>
      </w:r>
      <w:r>
        <w:rPr>
          <w:rFonts w:hint="eastAsia" w:ascii="仿宋_GB2312" w:eastAsia="仿宋_GB2312"/>
          <w:sz w:val="32"/>
          <w:szCs w:val="32"/>
          <w:lang w:val="zh-CN"/>
        </w:rPr>
        <w:t>主要原因是：绿色出行，车辆维修维护费、燃油费等减少。其中：因公出国（境）费支出0.00万元，占0.00%，比上年增加0.00万元，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主要原因是：单位本年无此项经费；公务用车购置及运行维护费支出0.30万元，占100.00%，比上年减少0.08万元，</w:t>
      </w:r>
      <w:r>
        <w:rPr>
          <w:rFonts w:hint="eastAsia" w:ascii="仿宋_GB2312" w:eastAsia="仿宋_GB2312"/>
          <w:sz w:val="32"/>
          <w:szCs w:val="32"/>
        </w:rPr>
        <w:t>下降21.05%,</w:t>
      </w:r>
      <w:r>
        <w:rPr>
          <w:rFonts w:hint="eastAsia" w:ascii="仿宋_GB2312" w:eastAsia="仿宋_GB2312"/>
          <w:sz w:val="32"/>
          <w:szCs w:val="32"/>
          <w:lang w:val="zh-CN"/>
        </w:rPr>
        <w:t>主要原因是：绿色出行，车辆维修维护费、燃油费等减少；公务接待费支出0.00万元，占0.00%，比上年增加0.00万元，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公务用车购置及运行维护费0.30万元，其中：公务用车购置费0.00万元，公务用车运行维护费0.30万元。公务用车运行维护费开支内容包括</w:t>
      </w:r>
      <w:r>
        <w:rPr>
          <w:rFonts w:hint="eastAsia" w:ascii="仿宋_GB2312" w:eastAsia="仿宋_GB2312"/>
          <w:sz w:val="32"/>
          <w:szCs w:val="32"/>
        </w:rPr>
        <w:t>公务用车维修维护费、燃油费、保险费、过路费等</w:t>
      </w:r>
      <w:r>
        <w:rPr>
          <w:rFonts w:hint="eastAsia" w:ascii="仿宋_GB2312" w:eastAsia="仿宋_GB2312"/>
          <w:sz w:val="32"/>
          <w:szCs w:val="32"/>
          <w:lang w:val="zh-CN"/>
        </w:rPr>
        <w:t>。公务用车购置数0辆，公务用车保有量1辆。国有资产占用情况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车辆</w:t>
      </w:r>
      <w:r>
        <w:rPr>
          <w:rFonts w:hint="eastAsia" w:ascii="仿宋_GB2312" w:eastAsia="仿宋_GB2312"/>
          <w:sz w:val="32"/>
          <w:szCs w:val="32"/>
          <w:lang w:val="zh-CN"/>
        </w:rPr>
        <w:t>对比无差异。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预算数0.30万元，决算数0.30万元，预决算差异率0.00%，主要原因是：严格按预算执行，预决算无差异。其中：因公出国（境）费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预算数0.30万元，决算数0.30万元，预决算差异率0.00%，主要原因是：</w:t>
      </w:r>
      <w:r>
        <w:rPr>
          <w:rFonts w:hint="eastAsia" w:ascii="仿宋_GB2312" w:eastAsia="仿宋_GB2312"/>
          <w:sz w:val="32"/>
          <w:szCs w:val="32"/>
        </w:rPr>
        <w:t>严格按预算执行，预决算无差异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木垒哈萨克自治县第一小学（事业单位）公用经费支出18.30万元，</w:t>
      </w:r>
      <w:r>
        <w:rPr>
          <w:rFonts w:hint="eastAsia" w:ascii="仿宋_GB2312" w:eastAsia="仿宋_GB2312"/>
          <w:sz w:val="32"/>
          <w:szCs w:val="32"/>
          <w:lang w:val="zh-CN"/>
        </w:rPr>
        <w:t>比上年增加13.44万元，增长276.54%，主要原因是：</w:t>
      </w:r>
      <w:r>
        <w:rPr>
          <w:rFonts w:hint="eastAsia" w:ascii="仿宋_GB2312" w:eastAsia="仿宋_GB2312"/>
          <w:sz w:val="32"/>
          <w:szCs w:val="32"/>
        </w:rPr>
        <w:t>单位本年取暖费较上年增加。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2023年度政府采购支出总额112.31万元，其中：政府采购货物支出53.12万元、政府采购工程支出52.28万元、政府采购服务支出6.90万元。</w:t>
      </w:r>
    </w:p>
    <w:p>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授予中小企业合同金额112.31万元，占政府采购支出总额的100.00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，其中：授予小微企业合同金额112.31万元，占政府采购支出总额的100.00</w:t>
      </w:r>
      <w:r>
        <w:rPr>
          <w:rFonts w:ascii="仿宋_GB2312" w:eastAsia="仿宋_GB2312"/>
          <w:sz w:val="32"/>
          <w:szCs w:val="32"/>
          <w:lang w:val="zh-CN"/>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3,635.32</w:t>
      </w:r>
      <w:r>
        <w:rPr>
          <w:rFonts w:hint="eastAsia" w:ascii="仿宋_GB2312" w:eastAsia="仿宋_GB2312"/>
          <w:sz w:val="32"/>
          <w:szCs w:val="32"/>
        </w:rPr>
        <w:t>万元，房</w:t>
      </w:r>
      <w:r>
        <w:rPr>
          <w:rFonts w:hint="eastAsia" w:ascii="仿宋_GB2312" w:eastAsia="仿宋_GB2312"/>
          <w:sz w:val="32"/>
          <w:szCs w:val="32"/>
          <w:lang w:val="zh-CN"/>
        </w:rPr>
        <w:t>屋14</w:t>
      </w:r>
      <w:r>
        <w:rPr>
          <w:rFonts w:hint="eastAsia" w:ascii="仿宋_GB2312" w:eastAsia="仿宋_GB2312"/>
          <w:sz w:val="32"/>
          <w:szCs w:val="32"/>
        </w:rPr>
        <w:t>,</w:t>
      </w:r>
      <w:r>
        <w:rPr>
          <w:rFonts w:hint="eastAsia" w:ascii="仿宋_GB2312" w:eastAsia="仿宋_GB2312"/>
          <w:sz w:val="32"/>
          <w:szCs w:val="32"/>
          <w:lang w:val="zh-CN"/>
        </w:rPr>
        <w:t>497.03平方米，价值2,745.64万元。车辆1辆，价值8.66万元，其中：副部（省）级及以上领导用车0辆、主要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用车0辆、其他用车1辆，其他用车主要是：</w:t>
      </w:r>
      <w:r>
        <w:rPr>
          <w:rFonts w:hint="eastAsia" w:ascii="仿宋_GB2312" w:eastAsia="仿宋_GB2312"/>
          <w:sz w:val="32"/>
          <w:szCs w:val="32"/>
        </w:rPr>
        <w:t>单位业务用车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预算总额2,536.75万元，实际执行总额</w:t>
      </w:r>
      <w:r>
        <w:rPr>
          <w:rFonts w:ascii="仿宋_GB2312" w:eastAsia="仿宋_GB2312"/>
          <w:sz w:val="32"/>
          <w:szCs w:val="32"/>
        </w:rPr>
        <w:t>2,536.41</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做好群众服务工作，保障社会大局稳定，提高群众安全感；二是促进统筹规划和综合协调，提升人居环境质量,提升群众人居环境。发现的问题及原因：一</w:t>
      </w:r>
      <w:r>
        <w:rPr>
          <w:rFonts w:hint="eastAsia" w:ascii="仿宋_GB2312" w:eastAsia="仿宋_GB2312"/>
          <w:sz w:val="30"/>
          <w:szCs w:val="30"/>
        </w:rPr>
        <w:t>是部门职能不明确，个别工作分工不清晰，且人员培训和绩效考核制度不够完善，考核方案部分内容和人员名单更新滞后；二是部门整体绩效指标应从单位全局高度出发，围绕部门单位履职的核心任务，分析提炼</w:t>
      </w:r>
      <w:r>
        <w:rPr>
          <w:rFonts w:hint="eastAsia" w:ascii="仿宋_GB2312" w:eastAsia="仿宋_GB2312"/>
          <w:sz w:val="32"/>
          <w:szCs w:val="32"/>
        </w:rPr>
        <w:t>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89" w:type="pct"/>
        <w:jc w:val="center"/>
        <w:tblLayout w:type="fixed"/>
        <w:tblCellMar>
          <w:top w:w="0" w:type="dxa"/>
          <w:left w:w="108" w:type="dxa"/>
          <w:bottom w:w="0" w:type="dxa"/>
          <w:right w:w="108" w:type="dxa"/>
        </w:tblCellMar>
      </w:tblPr>
      <w:tblGrid>
        <w:gridCol w:w="1812"/>
        <w:gridCol w:w="1197"/>
        <w:gridCol w:w="1119"/>
        <w:gridCol w:w="1022"/>
        <w:gridCol w:w="1017"/>
        <w:gridCol w:w="790"/>
        <w:gridCol w:w="857"/>
        <w:gridCol w:w="860"/>
      </w:tblGrid>
      <w:tr>
        <w:tblPrEx>
          <w:tblCellMar>
            <w:top w:w="0" w:type="dxa"/>
            <w:left w:w="108" w:type="dxa"/>
            <w:bottom w:w="0" w:type="dxa"/>
            <w:right w:w="108" w:type="dxa"/>
          </w:tblCellMar>
        </w:tblPrEx>
        <w:trPr>
          <w:trHeight w:val="522" w:hRule="atLeast"/>
          <w:jc w:val="center"/>
        </w:trPr>
        <w:tc>
          <w:tcPr>
            <w:tcW w:w="8675"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tblPrEx>
          <w:tblCellMar>
            <w:top w:w="0" w:type="dxa"/>
            <w:left w:w="108" w:type="dxa"/>
            <w:bottom w:w="0" w:type="dxa"/>
            <w:right w:w="108" w:type="dxa"/>
          </w:tblCellMar>
        </w:tblPrEx>
        <w:trPr>
          <w:trHeight w:val="360" w:hRule="atLeast"/>
          <w:jc w:val="center"/>
        </w:trPr>
        <w:tc>
          <w:tcPr>
            <w:tcW w:w="8675"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tblPrEx>
          <w:tblCellMar>
            <w:top w:w="0" w:type="dxa"/>
            <w:left w:w="108" w:type="dxa"/>
            <w:bottom w:w="0" w:type="dxa"/>
            <w:right w:w="108" w:type="dxa"/>
          </w:tblCellMar>
        </w:tblPrEx>
        <w:trPr>
          <w:trHeight w:val="660" w:hRule="atLeast"/>
          <w:jc w:val="center"/>
        </w:trPr>
        <w:tc>
          <w:tcPr>
            <w:tcW w:w="1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6862"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w:t>
            </w:r>
          </w:p>
        </w:tc>
      </w:tr>
      <w:tr>
        <w:tblPrEx>
          <w:tblCellMar>
            <w:top w:w="0" w:type="dxa"/>
            <w:left w:w="108" w:type="dxa"/>
            <w:bottom w:w="0" w:type="dxa"/>
            <w:right w:w="108" w:type="dxa"/>
          </w:tblCellMar>
        </w:tblPrEx>
        <w:trPr>
          <w:trHeight w:val="570" w:hRule="atLeast"/>
          <w:jc w:val="center"/>
        </w:trPr>
        <w:tc>
          <w:tcPr>
            <w:tcW w:w="18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88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93.83</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106.89</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106.89</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88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8.80</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8.80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022"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01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119"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2,236.75</w:t>
            </w:r>
          </w:p>
        </w:tc>
        <w:tc>
          <w:tcPr>
            <w:tcW w:w="102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2,421.06</w:t>
            </w:r>
          </w:p>
        </w:tc>
        <w:tc>
          <w:tcPr>
            <w:tcW w:w="10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2420.72</w:t>
            </w:r>
          </w:p>
        </w:tc>
        <w:tc>
          <w:tcPr>
            <w:tcW w:w="790"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r>
      <w:tr>
        <w:tblPrEx>
          <w:tblCellMar>
            <w:top w:w="0" w:type="dxa"/>
            <w:left w:w="108" w:type="dxa"/>
            <w:bottom w:w="0" w:type="dxa"/>
            <w:right w:w="108" w:type="dxa"/>
          </w:tblCellMar>
        </w:tblPrEx>
        <w:trPr>
          <w:trHeight w:val="88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22"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017"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bookmarkStart w:id="48" w:name="_GoBack"/>
            <w:bookmarkEnd w:id="48"/>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r>
      <w:tr>
        <w:tblPrEx>
          <w:tblCellMar>
            <w:top w:w="0" w:type="dxa"/>
            <w:left w:w="108" w:type="dxa"/>
            <w:bottom w:w="0" w:type="dxa"/>
            <w:right w:w="108" w:type="dxa"/>
          </w:tblCellMar>
        </w:tblPrEx>
        <w:trPr>
          <w:trHeight w:val="88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2,330.58</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2,536.75</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2,536.41</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705" w:hRule="atLeast"/>
          <w:jc w:val="center"/>
        </w:trPr>
        <w:tc>
          <w:tcPr>
            <w:tcW w:w="18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52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tblPrEx>
          <w:tblCellMar>
            <w:top w:w="0" w:type="dxa"/>
            <w:left w:w="108" w:type="dxa"/>
            <w:bottom w:w="0" w:type="dxa"/>
            <w:right w:w="108" w:type="dxa"/>
          </w:tblCellMar>
        </w:tblPrEx>
        <w:trPr>
          <w:trHeight w:val="200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33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小学的教育教学管理，全面推进素质教育，全面提高教育教学质量。</w:t>
            </w:r>
          </w:p>
        </w:tc>
        <w:tc>
          <w:tcPr>
            <w:tcW w:w="3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单位已完成每周查阅学校教学常规检查资料，开展教研活动，每学期主题式校本研修活动不少于四次，效果好；每年资助学生不少于2次，已完成，效果好；每学期开展教学质量分析会不少于1次，全年2次，已完成；每学期综合检查不少于2次，有记录、有反馈、有改进措施；按计划组织开展法治教育活动，每学期不少于一次，法治教育工作机构健全、制度完善，学习各类法律法规资料齐全，活动资料完善。</w:t>
            </w:r>
          </w:p>
        </w:tc>
      </w:tr>
      <w:tr>
        <w:tblPrEx>
          <w:tblCellMar>
            <w:top w:w="0" w:type="dxa"/>
            <w:left w:w="108" w:type="dxa"/>
            <w:bottom w:w="0" w:type="dxa"/>
            <w:right w:w="108" w:type="dxa"/>
          </w:tblCellMar>
        </w:tblPrEx>
        <w:trPr>
          <w:trHeight w:val="580" w:hRule="atLeast"/>
          <w:jc w:val="center"/>
        </w:trPr>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740" w:hRule="atLeast"/>
          <w:jc w:val="center"/>
        </w:trPr>
        <w:tc>
          <w:tcPr>
            <w:tcW w:w="18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&gt;=106人</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106人</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r>
      <w:tr>
        <w:tblPrEx>
          <w:tblCellMar>
            <w:top w:w="0" w:type="dxa"/>
            <w:left w:w="108" w:type="dxa"/>
            <w:bottom w:w="0" w:type="dxa"/>
            <w:right w:w="108" w:type="dxa"/>
          </w:tblCellMar>
        </w:tblPrEx>
        <w:trPr>
          <w:trHeight w:val="74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房屋建筑物供暖面积</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≥13776平方米</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13776平方米</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r>
      <w:tr>
        <w:tblPrEx>
          <w:tblCellMar>
            <w:top w:w="0" w:type="dxa"/>
            <w:left w:w="108" w:type="dxa"/>
            <w:bottom w:w="0" w:type="dxa"/>
            <w:right w:w="108" w:type="dxa"/>
          </w:tblCellMar>
        </w:tblPrEx>
        <w:trPr>
          <w:trHeight w:val="740" w:hRule="atLeast"/>
          <w:jc w:val="center"/>
        </w:trPr>
        <w:tc>
          <w:tcPr>
            <w:tcW w:w="18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&gt;=112人</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112人</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tblPrEx>
          <w:tblCellMar>
            <w:top w:w="0" w:type="dxa"/>
            <w:left w:w="108" w:type="dxa"/>
            <w:bottom w:w="0" w:type="dxa"/>
            <w:right w:w="108" w:type="dxa"/>
          </w:tblCellMar>
        </w:tblPrEx>
        <w:trPr>
          <w:trHeight w:val="74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教学质量分析会</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&gt;=2次</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tblPrEx>
          <w:tblCellMar>
            <w:top w:w="0" w:type="dxa"/>
            <w:left w:w="108" w:type="dxa"/>
            <w:bottom w:w="0" w:type="dxa"/>
            <w:right w:w="108" w:type="dxa"/>
          </w:tblCellMar>
        </w:tblPrEx>
        <w:trPr>
          <w:trHeight w:val="740" w:hRule="atLeast"/>
          <w:jc w:val="center"/>
        </w:trPr>
        <w:tc>
          <w:tcPr>
            <w:tcW w:w="18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各类教师培训及学习次数</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开展学校常规检查次数</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&gt;=4次</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w:t>
            </w:r>
          </w:p>
        </w:tc>
      </w:tr>
      <w:tr>
        <w:tblPrEx>
          <w:tblCellMar>
            <w:top w:w="0" w:type="dxa"/>
            <w:left w:w="108" w:type="dxa"/>
            <w:bottom w:w="0" w:type="dxa"/>
            <w:right w:w="108" w:type="dxa"/>
          </w:tblCellMar>
        </w:tblPrEx>
        <w:trPr>
          <w:trHeight w:val="740" w:hRule="atLeast"/>
          <w:jc w:val="center"/>
        </w:trPr>
        <w:tc>
          <w:tcPr>
            <w:tcW w:w="1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适龄儿童义务教育入学率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&gt;=99%</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99%</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jc w:val="center"/>
        </w:trPr>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jc w:val="center"/>
        </w:trPr>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木垒哈萨克自治县第一小学2023年工作计划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bl>
    <w:p>
      <w:pPr>
        <w:ind w:firstLine="640" w:firstLineChars="200"/>
        <w:jc w:val="left"/>
        <w:rPr>
          <w:rFonts w:hint="eastAsia" w:ascii="黑体" w:hAnsi="黑体" w:eastAsia="黑体" w:cs="宋体"/>
          <w:bCs/>
          <w:kern w:val="0"/>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7A45A0"/>
    <w:rsid w:val="00213C59"/>
    <w:rsid w:val="002179FA"/>
    <w:rsid w:val="003210CE"/>
    <w:rsid w:val="0056558C"/>
    <w:rsid w:val="00643E40"/>
    <w:rsid w:val="007A45A0"/>
    <w:rsid w:val="008968E7"/>
    <w:rsid w:val="00950ABC"/>
    <w:rsid w:val="00B70D59"/>
    <w:rsid w:val="00F52A8D"/>
    <w:rsid w:val="00F85164"/>
    <w:rsid w:val="019404F8"/>
    <w:rsid w:val="01F321C7"/>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C91CB3"/>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DF54EA9"/>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035266"/>
    <w:rsid w:val="618E3791"/>
    <w:rsid w:val="61947DCA"/>
    <w:rsid w:val="61A46A97"/>
    <w:rsid w:val="61D1382F"/>
    <w:rsid w:val="61F114A2"/>
    <w:rsid w:val="62512BB4"/>
    <w:rsid w:val="625D7D1A"/>
    <w:rsid w:val="62DD7D21"/>
    <w:rsid w:val="637D586B"/>
    <w:rsid w:val="63A5560B"/>
    <w:rsid w:val="63E9091F"/>
    <w:rsid w:val="642A69B3"/>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4C7B8F"/>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autoRedefine/>
    <w:qFormat/>
    <w:uiPriority w:val="0"/>
    <w:pPr>
      <w:spacing w:before="100" w:beforeAutospacing="1" w:after="100" w:afterAutospacing="1"/>
      <w:jc w:val="left"/>
    </w:pPr>
    <w:rPr>
      <w:kern w:val="0"/>
      <w:sz w:val="24"/>
    </w:rPr>
  </w:style>
  <w:style w:type="character" w:styleId="11">
    <w:name w:val="Strong"/>
    <w:basedOn w:val="10"/>
    <w:autoRedefine/>
    <w:qFormat/>
    <w:uiPriority w:val="0"/>
    <w:rPr>
      <w:b/>
    </w:rPr>
  </w:style>
  <w:style w:type="paragraph" w:customStyle="1" w:styleId="12">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5698</Words>
  <Characters>6504</Characters>
  <Lines>53</Lines>
  <Paragraphs>15</Paragraphs>
  <TotalTime>63</TotalTime>
  <ScaleCrop>false</ScaleCrop>
  <LinksUpToDate>false</LinksUpToDate>
  <CharactersWithSpaces>6514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2024-09-03T02:28:51Z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